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6764B8" w:rsidRPr="006764B8">
        <w:rPr>
          <w:b/>
          <w:i/>
          <w:noProof/>
          <w:sz w:val="28"/>
        </w:rPr>
        <w:t>R3-212215</w:t>
      </w:r>
      <w:bookmarkStart w:id="1" w:name="_GoBack"/>
      <w:bookmarkEnd w:id="1"/>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C29E9" w:rsidRPr="00FC29E9">
        <w:rPr>
          <w:rFonts w:ascii="Arial" w:hAnsi="Arial"/>
          <w:sz w:val="24"/>
          <w:lang w:eastAsia="zh-CN"/>
        </w:rPr>
        <w:t xml:space="preserve">Discussion on Reply LS on </w:t>
      </w:r>
      <w:proofErr w:type="spellStart"/>
      <w:r w:rsidR="00FC29E9" w:rsidRPr="00FC29E9">
        <w:rPr>
          <w:rFonts w:ascii="Arial" w:hAnsi="Arial"/>
          <w:sz w:val="24"/>
          <w:lang w:eastAsia="zh-CN"/>
        </w:rPr>
        <w:t>IoT</w:t>
      </w:r>
      <w:proofErr w:type="spellEnd"/>
      <w:r w:rsidR="00FC29E9" w:rsidRPr="00FC29E9">
        <w:rPr>
          <w:rFonts w:ascii="Arial" w:hAnsi="Arial"/>
          <w:sz w:val="24"/>
          <w:lang w:eastAsia="zh-CN"/>
        </w:rPr>
        <w:t>-NTN basic architecture</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FC29E9">
        <w:rPr>
          <w:rFonts w:ascii="Arial" w:hAnsi="Arial"/>
          <w:sz w:val="24"/>
          <w:lang w:eastAsia="zh-CN"/>
        </w:rPr>
        <w:t>8.1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C29E9">
        <w:rPr>
          <w:rFonts w:ascii="Arial" w:hAnsi="Arial"/>
          <w:sz w:val="24"/>
        </w:rPr>
        <w:t>Approval</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E232B4" w:rsidP="000A4C5A">
      <w:pPr>
        <w:rPr>
          <w:lang w:eastAsia="zh-CN"/>
        </w:rPr>
      </w:pPr>
      <w:r>
        <w:rPr>
          <w:lang w:eastAsia="zh-CN"/>
        </w:rPr>
        <w:t xml:space="preserve">This contribution discusses the </w:t>
      </w:r>
      <w:r w:rsidR="00084A51">
        <w:rPr>
          <w:lang w:eastAsia="zh-CN"/>
        </w:rPr>
        <w:t xml:space="preserve">LS on </w:t>
      </w:r>
      <w:proofErr w:type="spellStart"/>
      <w:r w:rsidR="00084A51">
        <w:rPr>
          <w:lang w:eastAsia="zh-CN"/>
        </w:rPr>
        <w:t>IoT</w:t>
      </w:r>
      <w:proofErr w:type="spellEnd"/>
      <w:r w:rsidR="00084A51">
        <w:rPr>
          <w:lang w:eastAsia="zh-CN"/>
        </w:rPr>
        <w:t>-NTN basic architecture [1]</w:t>
      </w:r>
      <w:r w:rsidR="001551A2" w:rsidRPr="007D3E81">
        <w:rPr>
          <w:lang w:eastAsia="zh-CN"/>
        </w:rPr>
        <w:t>.</w:t>
      </w:r>
      <w:r w:rsidR="00084A51">
        <w:rPr>
          <w:lang w:eastAsia="zh-CN"/>
        </w:rPr>
        <w:t xml:space="preserve"> The contribution raises several points that we would appreciate to be captured in the reply liaison to RAN2 and RAN.</w:t>
      </w:r>
    </w:p>
    <w:p w:rsidR="00006AA0"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3. </w:t>
      </w:r>
      <w:r w:rsidR="00006AA0" w:rsidRPr="007D3E81">
        <w:rPr>
          <w:rFonts w:eastAsia="SimSun"/>
          <w:lang w:eastAsia="zh-CN"/>
        </w:rPr>
        <w:t>Discussion</w:t>
      </w:r>
    </w:p>
    <w:p w:rsidR="00084A51" w:rsidRDefault="00084A51" w:rsidP="00084A51">
      <w:pPr>
        <w:rPr>
          <w:rFonts w:eastAsiaTheme="minorEastAsia"/>
          <w:lang w:eastAsia="zh-CN"/>
        </w:rPr>
      </w:pPr>
      <w:r w:rsidRPr="00392B58">
        <w:rPr>
          <w:rFonts w:eastAsiaTheme="minorEastAsia" w:hint="eastAsia"/>
          <w:lang w:eastAsia="zh-CN"/>
        </w:rPr>
        <w:t>In the incoming liaison [1]</w:t>
      </w:r>
      <w:r w:rsidR="008124BA" w:rsidRPr="00392B58">
        <w:rPr>
          <w:rFonts w:eastAsiaTheme="minorEastAsia"/>
          <w:lang w:eastAsia="zh-CN"/>
        </w:rPr>
        <w:t xml:space="preserve">, </w:t>
      </w:r>
      <w:r w:rsidR="00392B58">
        <w:rPr>
          <w:rFonts w:eastAsiaTheme="minorEastAsia"/>
          <w:lang w:eastAsia="zh-CN"/>
        </w:rPr>
        <w:t>RAN2</w:t>
      </w:r>
      <w:r w:rsidR="008124BA" w:rsidRPr="008124BA">
        <w:rPr>
          <w:rFonts w:eastAsiaTheme="minorEastAsia"/>
          <w:lang w:eastAsia="zh-CN"/>
        </w:rPr>
        <w:t xml:space="preserve"> discussed architecture options for </w:t>
      </w:r>
      <w:proofErr w:type="spellStart"/>
      <w:r w:rsidR="008124BA" w:rsidRPr="008124BA">
        <w:rPr>
          <w:rFonts w:eastAsiaTheme="minorEastAsia"/>
          <w:lang w:eastAsia="zh-CN"/>
        </w:rPr>
        <w:t>IoT_NTN</w:t>
      </w:r>
      <w:proofErr w:type="spellEnd"/>
      <w:r w:rsidR="008124BA" w:rsidRPr="008124BA">
        <w:rPr>
          <w:rFonts w:eastAsiaTheme="minorEastAsia"/>
          <w:lang w:eastAsia="zh-CN"/>
        </w:rPr>
        <w:t xml:space="preserve"> to connect to core network, and considers that the </w:t>
      </w:r>
      <w:proofErr w:type="spellStart"/>
      <w:r w:rsidR="008124BA" w:rsidRPr="008124BA">
        <w:rPr>
          <w:rFonts w:eastAsiaTheme="minorEastAsia"/>
          <w:lang w:eastAsia="zh-CN"/>
        </w:rPr>
        <w:t>IoT</w:t>
      </w:r>
      <w:proofErr w:type="spellEnd"/>
      <w:r w:rsidR="008124BA" w:rsidRPr="008124BA">
        <w:rPr>
          <w:rFonts w:eastAsiaTheme="minorEastAsia"/>
          <w:lang w:eastAsia="zh-CN"/>
        </w:rPr>
        <w:t>-NTN RAN can connect to either an EPC</w:t>
      </w:r>
      <w:r w:rsidR="008124BA">
        <w:rPr>
          <w:rFonts w:eastAsiaTheme="minorEastAsia"/>
          <w:lang w:eastAsia="zh-CN"/>
        </w:rPr>
        <w:t xml:space="preserve"> and to a 5GCN</w:t>
      </w:r>
    </w:p>
    <w:p w:rsidR="008124BA" w:rsidRDefault="008124BA" w:rsidP="008124BA">
      <w:pPr>
        <w:spacing w:afterLines="50" w:after="120"/>
        <w:jc w:val="both"/>
        <w:rPr>
          <w:rFonts w:ascii="Arial" w:eastAsia="Malgun Gothic" w:hAnsi="Arial" w:cs="Arial"/>
          <w:bCs/>
          <w:lang w:val="en-US" w:eastAsia="ko-KR"/>
        </w:rPr>
      </w:pPr>
      <w:r>
        <w:object w:dxaOrig="6661" w:dyaOrig="1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4pt;height:109.8pt" o:ole="">
            <v:imagedata r:id="rId7" o:title=""/>
          </v:shape>
          <o:OLEObject Type="Embed" ProgID="Visio.Drawing.15" ShapeID="_x0000_i1025" DrawAspect="Content" ObjectID="_1681825832" r:id="rId8"/>
        </w:object>
      </w:r>
    </w:p>
    <w:p w:rsidR="008124BA" w:rsidRDefault="008124BA" w:rsidP="008124BA">
      <w:pPr>
        <w:spacing w:after="240" w:line="276" w:lineRule="auto"/>
        <w:ind w:left="920"/>
        <w:jc w:val="center"/>
        <w:rPr>
          <w:rFonts w:ascii="Arial" w:hAnsi="Arial" w:cs="Arial"/>
          <w:lang w:val="en-US"/>
        </w:rPr>
      </w:pPr>
      <w:r>
        <w:rPr>
          <w:rFonts w:ascii="Arial" w:hAnsi="Arial" w:cs="Arial"/>
          <w:lang w:val="en-US"/>
        </w:rPr>
        <w:t>Fig 1. Connection of E-</w:t>
      </w:r>
      <w:proofErr w:type="gramStart"/>
      <w:r>
        <w:rPr>
          <w:rFonts w:ascii="Arial" w:hAnsi="Arial" w:cs="Arial"/>
          <w:lang w:val="en-US"/>
        </w:rPr>
        <w:t>UTRAN(</w:t>
      </w:r>
      <w:proofErr w:type="gramEnd"/>
      <w:r>
        <w:rPr>
          <w:rFonts w:ascii="Arial" w:hAnsi="Arial" w:cs="Arial"/>
          <w:lang w:val="en-US"/>
        </w:rPr>
        <w:t>NTN) to EPC (Enhanced Packet Core)</w:t>
      </w:r>
    </w:p>
    <w:p w:rsidR="008124BA" w:rsidRDefault="008124BA" w:rsidP="008124BA">
      <w:pPr>
        <w:spacing w:after="240" w:line="276" w:lineRule="auto"/>
        <w:jc w:val="center"/>
        <w:rPr>
          <w:rFonts w:ascii="Arial" w:hAnsi="Arial" w:cs="Arial"/>
          <w:lang w:val="en-US"/>
        </w:rPr>
      </w:pPr>
      <w:r>
        <w:object w:dxaOrig="6570" w:dyaOrig="1575">
          <v:shape id="_x0000_i1026" type="#_x0000_t75" style="width:488.4pt;height:117pt" o:ole="">
            <v:imagedata r:id="rId9" o:title=""/>
          </v:shape>
          <o:OLEObject Type="Embed" ProgID="Visio.Drawing.15" ShapeID="_x0000_i1026" DrawAspect="Content" ObjectID="_1681825833" r:id="rId10"/>
        </w:object>
      </w:r>
      <w:r>
        <w:rPr>
          <w:rFonts w:ascii="Arial" w:hAnsi="Arial" w:cs="Arial"/>
          <w:lang w:val="en-US"/>
        </w:rPr>
        <w:t>Fig 2. Connection of E-</w:t>
      </w:r>
      <w:proofErr w:type="gramStart"/>
      <w:r>
        <w:rPr>
          <w:rFonts w:ascii="Arial" w:hAnsi="Arial" w:cs="Arial"/>
          <w:lang w:val="en-US"/>
        </w:rPr>
        <w:t>UTRAN(</w:t>
      </w:r>
      <w:proofErr w:type="gramEnd"/>
      <w:r>
        <w:rPr>
          <w:rFonts w:ascii="Arial" w:hAnsi="Arial" w:cs="Arial"/>
          <w:lang w:val="en-US"/>
        </w:rPr>
        <w:t>NTN) to 5G core network</w:t>
      </w:r>
    </w:p>
    <w:p w:rsidR="008124BA" w:rsidRDefault="008124BA" w:rsidP="00084A51">
      <w:pPr>
        <w:rPr>
          <w:rFonts w:eastAsiaTheme="minorEastAsia"/>
          <w:lang w:val="en-US" w:eastAsia="zh-CN"/>
        </w:rPr>
      </w:pPr>
    </w:p>
    <w:p w:rsidR="008124BA" w:rsidRDefault="008124BA" w:rsidP="00084A51">
      <w:pPr>
        <w:rPr>
          <w:rFonts w:eastAsiaTheme="minorEastAsia"/>
          <w:lang w:val="en-US" w:eastAsia="zh-CN"/>
        </w:rPr>
      </w:pPr>
      <w:r w:rsidRPr="00C7234D">
        <w:rPr>
          <w:rFonts w:ascii="Arial" w:eastAsia="Yu Mincho" w:hAnsi="Arial" w:cs="Arial"/>
          <w:iCs/>
          <w:lang w:eastAsia="ja-JP"/>
        </w:rPr>
        <w:t>RAN</w:t>
      </w:r>
      <w:r>
        <w:rPr>
          <w:rFonts w:ascii="Arial" w:eastAsia="Yu Mincho" w:hAnsi="Arial" w:cs="Arial"/>
          <w:iCs/>
          <w:lang w:eastAsia="ja-JP"/>
        </w:rPr>
        <w:t>2</w:t>
      </w:r>
      <w:r w:rsidRPr="00C7234D">
        <w:rPr>
          <w:rFonts w:ascii="Arial" w:eastAsia="Yu Mincho" w:hAnsi="Arial" w:cs="Arial"/>
          <w:iCs/>
          <w:lang w:eastAsia="ja-JP"/>
        </w:rPr>
        <w:t xml:space="preserve"> </w:t>
      </w:r>
      <w:r>
        <w:rPr>
          <w:rFonts w:ascii="Arial" w:eastAsia="Yu Mincho" w:hAnsi="Arial" w:cs="Arial"/>
          <w:iCs/>
          <w:lang w:eastAsia="ja-JP"/>
        </w:rPr>
        <w:t xml:space="preserve">ask </w:t>
      </w:r>
      <w:r>
        <w:rPr>
          <w:rFonts w:ascii="Arial" w:eastAsia="Yu Mincho" w:hAnsi="Arial" w:cs="Arial"/>
          <w:bCs/>
          <w:iCs/>
          <w:lang w:val="en-US" w:eastAsia="ja-JP"/>
        </w:rPr>
        <w:t xml:space="preserve">RAN3 to confirm RAN2 understanding of the core network connections to be supported for </w:t>
      </w:r>
      <w:proofErr w:type="spellStart"/>
      <w:r>
        <w:rPr>
          <w:rFonts w:ascii="Arial" w:eastAsia="Yu Mincho" w:hAnsi="Arial" w:cs="Arial"/>
          <w:bCs/>
          <w:iCs/>
          <w:lang w:val="en-US" w:eastAsia="ja-JP"/>
        </w:rPr>
        <w:t>IoT</w:t>
      </w:r>
      <w:proofErr w:type="spellEnd"/>
      <w:r>
        <w:rPr>
          <w:rFonts w:ascii="Arial" w:eastAsia="Yu Mincho" w:hAnsi="Arial" w:cs="Arial"/>
          <w:bCs/>
          <w:iCs/>
          <w:lang w:val="en-US" w:eastAsia="ja-JP"/>
        </w:rPr>
        <w:t>-NTN in release 17</w:t>
      </w:r>
    </w:p>
    <w:p w:rsidR="008124BA" w:rsidRPr="00084A51" w:rsidRDefault="008124BA" w:rsidP="00084A51">
      <w:pPr>
        <w:rPr>
          <w:rFonts w:eastAsiaTheme="minorEastAsia"/>
          <w:highlight w:val="yellow"/>
          <w:lang w:eastAsia="zh-CN"/>
        </w:rPr>
      </w:pPr>
      <w:r>
        <w:rPr>
          <w:rFonts w:eastAsiaTheme="minorEastAsia"/>
          <w:lang w:val="en-US" w:eastAsia="zh-CN"/>
        </w:rPr>
        <w:t xml:space="preserve">First we should clarify that RAN3 has neither WI neither TU schedule to work on </w:t>
      </w:r>
      <w:proofErr w:type="spellStart"/>
      <w:r>
        <w:rPr>
          <w:rFonts w:eastAsiaTheme="minorEastAsia"/>
          <w:lang w:val="en-US" w:eastAsia="zh-CN"/>
        </w:rPr>
        <w:t>IoT</w:t>
      </w:r>
      <w:proofErr w:type="spellEnd"/>
      <w:r>
        <w:rPr>
          <w:rFonts w:eastAsiaTheme="minorEastAsia"/>
          <w:lang w:val="en-US" w:eastAsia="zh-CN"/>
        </w:rPr>
        <w:t xml:space="preserve">-NTN in rel-17. Any work in this direction is subject to RAN decision. </w:t>
      </w:r>
      <w:r w:rsidR="00C96D08">
        <w:rPr>
          <w:rFonts w:eastAsiaTheme="minorEastAsia"/>
          <w:lang w:val="en-US" w:eastAsia="zh-CN"/>
        </w:rPr>
        <w:t xml:space="preserve">This also includes the 5GC </w:t>
      </w:r>
      <w:proofErr w:type="spellStart"/>
      <w:r w:rsidR="00C96D08">
        <w:rPr>
          <w:rFonts w:eastAsiaTheme="minorEastAsia"/>
          <w:lang w:val="en-US" w:eastAsia="zh-CN"/>
        </w:rPr>
        <w:t>IoT</w:t>
      </w:r>
      <w:proofErr w:type="spellEnd"/>
      <w:r w:rsidR="00C96D08">
        <w:rPr>
          <w:rFonts w:eastAsiaTheme="minorEastAsia"/>
          <w:lang w:val="en-US" w:eastAsia="zh-CN"/>
        </w:rPr>
        <w:t xml:space="preserve">-NTN connections, indeed the current on-going Work Item on NTN does not includes </w:t>
      </w:r>
      <w:proofErr w:type="spellStart"/>
      <w:r w:rsidR="00C96D08">
        <w:rPr>
          <w:rFonts w:eastAsiaTheme="minorEastAsia"/>
          <w:lang w:val="en-US" w:eastAsia="zh-CN"/>
        </w:rPr>
        <w:t>IoT</w:t>
      </w:r>
      <w:proofErr w:type="spellEnd"/>
      <w:r w:rsidR="00C96D08">
        <w:rPr>
          <w:rFonts w:eastAsiaTheme="minorEastAsia"/>
          <w:lang w:val="en-US" w:eastAsia="zh-CN"/>
        </w:rPr>
        <w:t xml:space="preserve"> operations.</w:t>
      </w:r>
    </w:p>
    <w:p w:rsidR="00185A40" w:rsidRDefault="00185A40" w:rsidP="00C71E0A">
      <w:pPr>
        <w:pStyle w:val="Proposal"/>
      </w:pPr>
      <w:bookmarkStart w:id="4" w:name="_Toc423019661"/>
      <w:bookmarkStart w:id="5" w:name="_Toc423019946"/>
      <w:bookmarkStart w:id="6" w:name="_Toc423020275"/>
      <w:bookmarkStart w:id="7" w:name="_Toc423020292"/>
      <w:bookmarkStart w:id="8" w:name="_Toc423020300"/>
      <w:r w:rsidRPr="00185A40">
        <w:lastRenderedPageBreak/>
        <w:t>Th</w:t>
      </w:r>
      <w:bookmarkEnd w:id="4"/>
      <w:bookmarkEnd w:id="5"/>
      <w:bookmarkEnd w:id="6"/>
      <w:bookmarkEnd w:id="7"/>
      <w:bookmarkEnd w:id="8"/>
      <w:r w:rsidR="008124BA">
        <w:t>e reply LS should be address to RAN and RAN2 with the clarification that RAN3 today has neither WI, neither TU scheduled to work on connection of NTN-</w:t>
      </w:r>
      <w:proofErr w:type="spellStart"/>
      <w:r w:rsidR="008124BA">
        <w:t>IoT</w:t>
      </w:r>
      <w:proofErr w:type="spellEnd"/>
      <w:r w:rsidR="008124BA">
        <w:t xml:space="preserve"> to EPC or 5GC. In rel-17. Such support for rel-17 is pending to RAN decision.</w:t>
      </w:r>
    </w:p>
    <w:p w:rsidR="008124BA" w:rsidRDefault="00C96D08" w:rsidP="00C96D08">
      <w:r>
        <w:rPr>
          <w:rFonts w:hint="eastAsia"/>
        </w:rPr>
        <w:t xml:space="preserve">Then </w:t>
      </w:r>
      <w:r>
        <w:t xml:space="preserve">as mentioned above the current work on NTN connection to 5GC does not include </w:t>
      </w:r>
      <w:proofErr w:type="spellStart"/>
      <w:r>
        <w:t>IoT</w:t>
      </w:r>
      <w:proofErr w:type="spellEnd"/>
      <w:r>
        <w:t xml:space="preserve"> aspects. We would like to note at least 2 technical aspects that will not be discuss in the current NTN Work Item. The first one is the impact of the LEO moving cells on the </w:t>
      </w:r>
      <w:proofErr w:type="spellStart"/>
      <w:r>
        <w:t>IoT</w:t>
      </w:r>
      <w:proofErr w:type="spellEnd"/>
      <w:r>
        <w:t xml:space="preserve"> device.  The </w:t>
      </w:r>
      <w:proofErr w:type="spellStart"/>
      <w:r>
        <w:t>IoT</w:t>
      </w:r>
      <w:proofErr w:type="spellEnd"/>
      <w:r>
        <w:t xml:space="preserve"> devices should apply long DRX cycles. There is no mobility for </w:t>
      </w:r>
      <w:proofErr w:type="spellStart"/>
      <w:r>
        <w:t>IoT</w:t>
      </w:r>
      <w:proofErr w:type="spellEnd"/>
      <w:r>
        <w:t xml:space="preserve"> devices, only the cell selection and re-selection with context fetch apply to them. The process of cell selection is not expected at end of DRX cycles and against of long life principle with low battery for </w:t>
      </w:r>
      <w:proofErr w:type="spellStart"/>
      <w:r>
        <w:t>IoT</w:t>
      </w:r>
      <w:proofErr w:type="spellEnd"/>
      <w:r>
        <w:t xml:space="preserve"> device which are subject to stay a life year with low battery. If the LEO moving cel</w:t>
      </w:r>
      <w:r w:rsidR="009B42AE">
        <w:t xml:space="preserve">ls are not able to provide the same identifier when a new satellite and cells is covering the </w:t>
      </w:r>
      <w:proofErr w:type="spellStart"/>
      <w:r w:rsidR="009B42AE">
        <w:t>IoT</w:t>
      </w:r>
      <w:proofErr w:type="spellEnd"/>
      <w:r w:rsidR="009B42AE">
        <w:t xml:space="preserve"> devices (e.g. the 2 different satellites could not have same MIB), this will result of a disaster for the </w:t>
      </w:r>
      <w:proofErr w:type="spellStart"/>
      <w:r w:rsidR="009B42AE">
        <w:t>IoT</w:t>
      </w:r>
      <w:proofErr w:type="spellEnd"/>
      <w:r w:rsidR="009B42AE">
        <w:t xml:space="preserve"> devices.  This aspect may require specific solution for the </w:t>
      </w:r>
      <w:proofErr w:type="spellStart"/>
      <w:r w:rsidR="009B42AE">
        <w:t>IoT</w:t>
      </w:r>
      <w:proofErr w:type="spellEnd"/>
      <w:r w:rsidR="009B42AE">
        <w:t xml:space="preserve"> devices compare existing NTN solution.</w:t>
      </w:r>
    </w:p>
    <w:p w:rsidR="004A43CE" w:rsidRDefault="009B42AE" w:rsidP="00C96D08">
      <w:r>
        <w:t xml:space="preserve">Following this example, and possible technical issue, if the support of </w:t>
      </w:r>
      <w:proofErr w:type="spellStart"/>
      <w:r>
        <w:t>IoT</w:t>
      </w:r>
      <w:proofErr w:type="spellEnd"/>
      <w:r>
        <w:t xml:space="preserve"> devices, particularly on S1 require specific solutions we do see some risk to develop a specific solution for S1 and EPC and </w:t>
      </w:r>
      <w:proofErr w:type="spellStart"/>
      <w:r w:rsidR="00664885">
        <w:t>IoT</w:t>
      </w:r>
      <w:proofErr w:type="spellEnd"/>
      <w:r w:rsidR="00664885">
        <w:t>-</w:t>
      </w:r>
      <w:r>
        <w:t xml:space="preserve">NTN diverging from the NR NG-RAN solution. The rel-17 should not open a discrepancy </w:t>
      </w:r>
      <w:r w:rsidR="004A43CE">
        <w:t xml:space="preserve">on NTN support over interface S1 and NG which may lead at the end of a discrepancy between EPS and 5GC in term of new feature supported in rel-17, </w:t>
      </w:r>
      <w:r w:rsidR="00664885">
        <w:t>then</w:t>
      </w:r>
      <w:r w:rsidR="004A43CE">
        <w:t xml:space="preserve"> implicitly delay the convergence to 5GC… </w:t>
      </w:r>
    </w:p>
    <w:p w:rsidR="009B42AE" w:rsidRPr="00185A40" w:rsidRDefault="00426E74" w:rsidP="00C96D08">
      <w:r>
        <w:t xml:space="preserve">Considering the extra complexity of LEO moving cells raised above and also </w:t>
      </w:r>
      <w:r w:rsidR="00664885">
        <w:t xml:space="preserve">issues </w:t>
      </w:r>
      <w:r>
        <w:t xml:space="preserve">not currently solve for the </w:t>
      </w:r>
      <w:r w:rsidR="00664885">
        <w:t xml:space="preserve">NR </w:t>
      </w:r>
      <w:r>
        <w:t xml:space="preserve">NTN WI, we would like to encourage RAN3 to feedback to RAN and RAN2, as SA2 also mention in there Reply LS [2], that the </w:t>
      </w:r>
      <w:proofErr w:type="spellStart"/>
      <w:r>
        <w:t>IoT</w:t>
      </w:r>
      <w:proofErr w:type="spellEnd"/>
      <w:r>
        <w:t>-NTN “</w:t>
      </w:r>
      <w:r w:rsidRPr="002870BD">
        <w:t>any impacts to</w:t>
      </w:r>
      <w:r>
        <w:t>”</w:t>
      </w:r>
      <w:r w:rsidRPr="002870BD">
        <w:t xml:space="preserve"> </w:t>
      </w:r>
      <w:r>
        <w:t>RAN3</w:t>
      </w:r>
      <w:r w:rsidRPr="002870BD">
        <w:t xml:space="preserve"> </w:t>
      </w:r>
      <w:r>
        <w:t>“</w:t>
      </w:r>
      <w:proofErr w:type="spellStart"/>
      <w:r w:rsidRPr="002870BD">
        <w:t>spec.s</w:t>
      </w:r>
      <w:proofErr w:type="spellEnd"/>
      <w:r w:rsidRPr="002870BD">
        <w:t xml:space="preserve"> for alignment with RAN </w:t>
      </w:r>
      <w:proofErr w:type="spellStart"/>
      <w:r w:rsidRPr="002870BD">
        <w:t>spec.s</w:t>
      </w:r>
      <w:proofErr w:type="spellEnd"/>
      <w:r w:rsidRPr="002870BD">
        <w:t xml:space="preserve"> will be small</w:t>
      </w:r>
      <w:r>
        <w:t xml:space="preserve">”…. This should also preclude too much work deviation from the current NTN WI. We would like then in alignment with </w:t>
      </w:r>
      <w:r w:rsidR="00664885">
        <w:t xml:space="preserve">SA2, </w:t>
      </w:r>
      <w:r>
        <w:t>recommend that RA</w:t>
      </w:r>
      <w:r w:rsidR="00664885">
        <w:t>N3 feedback to RAN and RAN3 a</w:t>
      </w:r>
      <w:r>
        <w:t xml:space="preserve"> similar solution to NTN WI applies to NTN-</w:t>
      </w:r>
      <w:proofErr w:type="spellStart"/>
      <w:r>
        <w:t>IoT</w:t>
      </w:r>
      <w:proofErr w:type="spellEnd"/>
      <w:r>
        <w:t xml:space="preserve"> even do not include complexity LEO moving cells or extra feature i.e. ASN.1 coding compare to NTN WI.</w:t>
      </w:r>
    </w:p>
    <w:p w:rsidR="00185A40" w:rsidRDefault="00426E74" w:rsidP="00223223">
      <w:pPr>
        <w:pStyle w:val="Proposal"/>
        <w:rPr>
          <w:lang w:eastAsia="zh-CN"/>
        </w:rPr>
      </w:pPr>
      <w:r>
        <w:rPr>
          <w:lang w:eastAsia="zh-CN"/>
        </w:rPr>
        <w:t xml:space="preserve">The Reply LS to RAN and RAN2 should clarify that RAN3 expects a small impact of </w:t>
      </w:r>
      <w:proofErr w:type="spellStart"/>
      <w:r>
        <w:rPr>
          <w:lang w:eastAsia="zh-CN"/>
        </w:rPr>
        <w:t>IoT</w:t>
      </w:r>
      <w:proofErr w:type="spellEnd"/>
      <w:r>
        <w:rPr>
          <w:lang w:eastAsia="zh-CN"/>
        </w:rPr>
        <w:t xml:space="preserve"> NTN connection to CN over S1 or NGAP i.e. by avoiding new feature or encoding even by reduction of the complexity without e.g. considering LEO moving cells.</w:t>
      </w:r>
      <w:r w:rsidR="00185A40">
        <w:rPr>
          <w:lang w:eastAsia="zh-CN"/>
        </w:rPr>
        <w:t xml:space="preserve"> </w:t>
      </w:r>
    </w:p>
    <w:p w:rsidR="00326166" w:rsidRPr="007D3E81" w:rsidRDefault="005456E5" w:rsidP="001A1F92">
      <w:pPr>
        <w:pStyle w:val="Heading1"/>
        <w:rPr>
          <w:rFonts w:eastAsia="SimSun"/>
          <w:lang w:eastAsia="zh-CN"/>
        </w:rPr>
      </w:pPr>
      <w:bookmarkStart w:id="9" w:name="_Toc423019950"/>
      <w:bookmarkStart w:id="10" w:name="_Toc423020279"/>
      <w:bookmarkStart w:id="11" w:name="_Toc423020296"/>
      <w:bookmarkEnd w:id="2"/>
      <w:bookmarkEnd w:id="3"/>
      <w:bookmarkEnd w:id="9"/>
      <w:bookmarkEnd w:id="10"/>
      <w:bookmarkEnd w:id="11"/>
      <w:r>
        <w:rPr>
          <w:rFonts w:eastAsia="SimSun"/>
          <w:lang w:eastAsia="zh-CN"/>
        </w:rPr>
        <w:t xml:space="preserve">4.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4A43CE">
        <w:rPr>
          <w:lang w:eastAsia="zh-CN"/>
        </w:rPr>
        <w:t xml:space="preserve"> to be capture in the LS</w:t>
      </w:r>
      <w:r>
        <w:rPr>
          <w:lang w:eastAsia="zh-CN"/>
        </w:rPr>
        <w:t>:</w:t>
      </w:r>
    </w:p>
    <w:p w:rsidR="004A43CE" w:rsidRDefault="00850DCF" w:rsidP="004A43CE">
      <w:pPr>
        <w:pStyle w:val="Proposal"/>
        <w:numPr>
          <w:ilvl w:val="0"/>
          <w:numId w:val="36"/>
        </w:num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4A43CE" w:rsidRPr="00185A40">
        <w:t>Th</w:t>
      </w:r>
      <w:r w:rsidR="004A43CE">
        <w:t>e reply LS should be address to RAN and RAN2 with the clarification that RAN3 today has neither WI, neither TU scheduled to work on connection of NTN-IoT to EPC or 5GC. In rel-17. Such support for rel-17 is pending to RAN decision.</w:t>
      </w:r>
    </w:p>
    <w:p w:rsidR="00223223" w:rsidRPr="005456E5" w:rsidRDefault="00223223" w:rsidP="005456E5">
      <w:pPr>
        <w:pStyle w:val="Proposallist"/>
        <w:rPr>
          <w:rFonts w:ascii="Calibri" w:hAnsi="Calibri"/>
          <w:noProof/>
          <w:lang w:val="en-US" w:eastAsia="sv-SE"/>
        </w:rPr>
      </w:pPr>
      <w:r w:rsidRPr="005456E5">
        <w:rPr>
          <w:noProof/>
          <w:lang w:eastAsia="zh-CN"/>
        </w:rPr>
        <w:t>Proposal 2:</w:t>
      </w:r>
      <w:r w:rsidRPr="005456E5">
        <w:rPr>
          <w:rFonts w:ascii="Calibri" w:hAnsi="Calibri"/>
          <w:noProof/>
          <w:lang w:val="en-US" w:eastAsia="sv-SE"/>
        </w:rPr>
        <w:tab/>
      </w:r>
      <w:r w:rsidR="00426E74">
        <w:rPr>
          <w:lang w:eastAsia="zh-CN"/>
        </w:rPr>
        <w:t>The Reply LS to RAN and RAN2 should clarify that RAN3 expects a small impact of IoT NTN connection to CN over S1 or NGAP i.e. by avoiding new feature or encoding even by reduction of the complexity without e.g. considering LEO moving cells.</w:t>
      </w:r>
    </w:p>
    <w:p w:rsidR="00185A40" w:rsidRPr="007D3E81" w:rsidRDefault="00850DCF" w:rsidP="00223223">
      <w:pPr>
        <w:pStyle w:val="Proposal"/>
        <w:numPr>
          <w:ilvl w:val="0"/>
          <w:numId w:val="0"/>
        </w:numPr>
        <w:rPr>
          <w:lang w:eastAsia="zh-CN"/>
        </w:rPr>
      </w:pPr>
      <w:r w:rsidRPr="005456E5">
        <w:rPr>
          <w:lang w:eastAsia="zh-CN"/>
        </w:rPr>
        <w:fldChar w:fldCharType="end"/>
      </w:r>
      <w:bookmarkStart w:id="12" w:name="_Toc423020280"/>
      <w:bookmarkEnd w:id="12"/>
    </w:p>
    <w:p w:rsidR="0001565F" w:rsidRPr="007D3E81" w:rsidRDefault="005456E5" w:rsidP="0013204A">
      <w:pPr>
        <w:pStyle w:val="Heading1"/>
      </w:pPr>
      <w:r>
        <w:t xml:space="preserve">5. </w:t>
      </w:r>
      <w:r w:rsidR="0001565F" w:rsidRPr="007D3E81">
        <w:t>Reference</w:t>
      </w:r>
    </w:p>
    <w:bookmarkEnd w:id="0"/>
    <w:p w:rsidR="00042266" w:rsidRDefault="00042266" w:rsidP="00042266">
      <w:pPr>
        <w:numPr>
          <w:ilvl w:val="0"/>
          <w:numId w:val="16"/>
        </w:numPr>
        <w:rPr>
          <w:lang w:eastAsia="zh-CN"/>
        </w:rPr>
      </w:pPr>
      <w:r>
        <w:rPr>
          <w:lang w:eastAsia="zh-CN"/>
        </w:rPr>
        <w:t>R3-211432</w:t>
      </w:r>
      <w:r>
        <w:rPr>
          <w:lang w:eastAsia="zh-CN"/>
        </w:rPr>
        <w:tab/>
        <w:t xml:space="preserve">LS on </w:t>
      </w:r>
      <w:proofErr w:type="spellStart"/>
      <w:r>
        <w:rPr>
          <w:lang w:eastAsia="zh-CN"/>
        </w:rPr>
        <w:t>IoT</w:t>
      </w:r>
      <w:proofErr w:type="spellEnd"/>
      <w:r>
        <w:rPr>
          <w:lang w:eastAsia="zh-CN"/>
        </w:rPr>
        <w:t>-NTN basic architecture</w:t>
      </w:r>
      <w:r>
        <w:rPr>
          <w:lang w:eastAsia="zh-CN"/>
        </w:rPr>
        <w:tab/>
        <w:t>RAN2</w:t>
      </w:r>
    </w:p>
    <w:p w:rsidR="000A4C5A" w:rsidRPr="007D3E81" w:rsidRDefault="00042266" w:rsidP="00042266">
      <w:pPr>
        <w:numPr>
          <w:ilvl w:val="0"/>
          <w:numId w:val="16"/>
        </w:numPr>
        <w:rPr>
          <w:lang w:eastAsia="zh-CN"/>
        </w:rPr>
      </w:pPr>
      <w:r>
        <w:rPr>
          <w:lang w:eastAsia="zh-CN"/>
        </w:rPr>
        <w:t>R3-211449</w:t>
      </w:r>
      <w:r>
        <w:rPr>
          <w:lang w:eastAsia="zh-CN"/>
        </w:rPr>
        <w:tab/>
        <w:t xml:space="preserve">Reply LS on </w:t>
      </w:r>
      <w:proofErr w:type="spellStart"/>
      <w:r>
        <w:rPr>
          <w:lang w:eastAsia="zh-CN"/>
        </w:rPr>
        <w:t>IoT</w:t>
      </w:r>
      <w:proofErr w:type="spellEnd"/>
      <w:r>
        <w:rPr>
          <w:lang w:eastAsia="zh-CN"/>
        </w:rPr>
        <w:t>-NTN basic architecture</w:t>
      </w:r>
      <w:r>
        <w:rPr>
          <w:lang w:eastAsia="zh-CN"/>
        </w:rPr>
        <w:tab/>
        <w:t>SA2</w:t>
      </w:r>
    </w:p>
    <w:sectPr w:rsidR="000A4C5A"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EAC" w:rsidRDefault="00C30EAC">
      <w:r>
        <w:separator/>
      </w:r>
    </w:p>
  </w:endnote>
  <w:endnote w:type="continuationSeparator" w:id="0">
    <w:p w:rsidR="00C30EAC" w:rsidRDefault="00C30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EAC" w:rsidRDefault="00C30EAC">
      <w:r>
        <w:separator/>
      </w:r>
    </w:p>
  </w:footnote>
  <w:footnote w:type="continuationSeparator" w:id="0">
    <w:p w:rsidR="00C30EAC" w:rsidRDefault="00C30E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2266"/>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A51"/>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25CA"/>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05B"/>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2B58"/>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6E74"/>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3CE"/>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D90"/>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885"/>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4B8"/>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24BA"/>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7E4"/>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2DF7"/>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2AE"/>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0EAC"/>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6D08"/>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4"/>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4C3"/>
    <w:rsid w:val="00FB575F"/>
    <w:rsid w:val="00FB7F73"/>
    <w:rsid w:val="00FC09B6"/>
    <w:rsid w:val="00FC283B"/>
    <w:rsid w:val="00FC29D1"/>
    <w:rsid w:val="00FC29E9"/>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Huawei20210502</cp:lastModifiedBy>
  <cp:revision>3</cp:revision>
  <cp:lastPrinted>2009-04-22T07:01:00Z</cp:lastPrinted>
  <dcterms:created xsi:type="dcterms:W3CDTF">2021-05-06T15:03:00Z</dcterms:created>
  <dcterms:modified xsi:type="dcterms:W3CDTF">2021-05-06T15:03:00Z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(3)eB3+rLd1NMTykdSmQ8w3ZQGRpj9u49XWq9wXFNa8oy+sZi4AYK9XpVyqBppodjf/36PDDxlD
biNkWik/IqV4k0Au0uNV41hqaa8m560ay+hMsIys1jZ42eutDTdFJ1VKtlsRw/cFxvMygKSz
xW8dq/zTf9PpH5xzbwgI5YgsCJbLeVDOiOtNtc5Ay2VMFk/QfNziT5A14TuGpdhrva1H+SFV
R83c4QwVetUdGmh6Lu</vt:lpwstr>
  </property>
  <property fmtid="{D5CDD505-2E9C-101B-9397-08002B2CF9AE}" pid="17" name="_2015_ms_pID_7253431">
    <vt:lpwstr>egNLbW/ZGuAmEbhWuYiqVe/acBI3T35l2B6TVzbtxtFa2WEonAGXKp
WHYsn+rNlnm79M8/tzpF8L2IDk/UCT28IXnOL4mFYkmiN0Iiz6w8l3xXoIXECpTGj5uTDZxv
kGz9eaWVG+wHy6VTZn7617qiia7sLqsNo72wet3fxOSYZuhUn340BRc6mT0eZrsVSNQhZi+m
RdzyvjZaIGH30iZ0896GuzHlyV0Jhs8JTH9u</vt:lpwstr>
  </property>
  <property fmtid="{D5CDD505-2E9C-101B-9397-08002B2CF9AE}" pid="18" name="_2015_ms_pID_7253432">
    <vt:lpwstr>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